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9" w:rsidRPr="005B6B5F" w:rsidRDefault="00C73F39" w:rsidP="00C73F39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sz w:val="32"/>
          <w:szCs w:val="32"/>
        </w:rPr>
      </w:pPr>
      <w:r w:rsidRPr="005B6B5F">
        <w:rPr>
          <w:rFonts w:ascii="Times New Roman" w:eastAsia="標楷體"/>
          <w:b/>
          <w:sz w:val="32"/>
          <w:szCs w:val="32"/>
        </w:rPr>
        <w:t>104</w:t>
      </w:r>
      <w:r w:rsidRPr="005B6B5F">
        <w:rPr>
          <w:rFonts w:ascii="Times New Roman" w:eastAsia="標楷體"/>
          <w:b/>
          <w:sz w:val="32"/>
          <w:szCs w:val="32"/>
        </w:rPr>
        <w:t>年</w:t>
      </w:r>
      <w:r w:rsidRPr="005B6B5F">
        <w:rPr>
          <w:rFonts w:ascii="Times New Roman" w:eastAsia="標楷體"/>
          <w:b/>
          <w:sz w:val="36"/>
          <w:szCs w:val="36"/>
        </w:rPr>
        <w:t>元旦</w:t>
      </w:r>
      <w:r w:rsidRPr="005B6B5F">
        <w:rPr>
          <w:rFonts w:ascii="Times New Roman" w:eastAsia="標楷體"/>
          <w:b/>
          <w:sz w:val="32"/>
          <w:szCs w:val="32"/>
        </w:rPr>
        <w:t>連續假期國道交通疏導措施一覽表</w:t>
      </w:r>
    </w:p>
    <w:tbl>
      <w:tblPr>
        <w:tblW w:w="1594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118"/>
        <w:gridCol w:w="2126"/>
        <w:gridCol w:w="1560"/>
        <w:gridCol w:w="1701"/>
        <w:gridCol w:w="1701"/>
        <w:gridCol w:w="3717"/>
        <w:gridCol w:w="896"/>
      </w:tblGrid>
      <w:tr w:rsidR="00C73F39" w:rsidRPr="00C73F39" w:rsidTr="00C73F39">
        <w:trPr>
          <w:trHeight w:val="567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spacing w:line="240" w:lineRule="exact"/>
              <w:jc w:val="center"/>
              <w:rPr>
                <w:rFonts w:ascii="Times New Roman" w:eastAsia="標楷體"/>
              </w:rPr>
            </w:pPr>
            <w:r w:rsidRPr="00C73F39">
              <w:rPr>
                <w:rFonts w:ascii="Times New Roman" w:eastAsia="標楷體"/>
                <w:bCs/>
              </w:rPr>
              <w:t>日期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入口高乘載管制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入口匝道封閉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暫停收費</w:t>
            </w:r>
          </w:p>
        </w:tc>
        <w:tc>
          <w:tcPr>
            <w:tcW w:w="1701" w:type="dxa"/>
            <w:vAlign w:val="center"/>
          </w:tcPr>
          <w:p w:rsidR="00C73F39" w:rsidRPr="00C73F39" w:rsidRDefault="00C73F39" w:rsidP="00A11AC1">
            <w:pPr>
              <w:spacing w:line="240" w:lineRule="exact"/>
              <w:jc w:val="center"/>
              <w:rPr>
                <w:rFonts w:ascii="Times New Roman" w:eastAsia="標楷體"/>
                <w:bCs/>
                <w:noProof/>
              </w:rPr>
            </w:pPr>
            <w:r w:rsidRPr="00C73F39">
              <w:rPr>
                <w:rFonts w:ascii="Times New Roman" w:eastAsia="標楷體"/>
                <w:bCs/>
                <w:noProof/>
              </w:rPr>
              <w:t>單一費率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差別收費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開放路肩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入口匝道儀控管制</w:t>
            </w:r>
          </w:p>
        </w:tc>
      </w:tr>
      <w:tr w:rsidR="00C73F39" w:rsidRPr="00C73F39" w:rsidTr="00C73F39">
        <w:trPr>
          <w:trHeight w:val="1232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（週四）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7-12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5</w:t>
            </w:r>
            <w:r w:rsidRPr="00C73F39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2126" w:type="dxa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0-18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時封閉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平鎮系統南下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前一日</w:t>
            </w:r>
            <w:r w:rsidRPr="00C73F39">
              <w:rPr>
                <w:rFonts w:eastAsia="標楷體"/>
                <w:bCs/>
                <w:sz w:val="24"/>
                <w:szCs w:val="24"/>
              </w:rPr>
              <w:t>23</w:t>
            </w:r>
            <w:r w:rsidRPr="00C73F39">
              <w:rPr>
                <w:rFonts w:eastAsia="標楷體"/>
                <w:bCs/>
                <w:sz w:val="24"/>
                <w:szCs w:val="24"/>
              </w:rPr>
              <w:t>時至當日</w:t>
            </w:r>
            <w:r w:rsidRPr="00C73F39">
              <w:rPr>
                <w:rFonts w:eastAsia="標楷體"/>
                <w:bCs/>
                <w:sz w:val="24"/>
                <w:szCs w:val="24"/>
              </w:rPr>
              <w:t>6</w:t>
            </w:r>
            <w:r w:rsidRPr="00C73F39">
              <w:rPr>
                <w:rFonts w:eastAsia="標楷體"/>
                <w:bCs/>
                <w:sz w:val="24"/>
                <w:szCs w:val="24"/>
              </w:rPr>
              <w:t>時國道全線雙向暫停收費</w:t>
            </w:r>
          </w:p>
        </w:tc>
        <w:tc>
          <w:tcPr>
            <w:tcW w:w="1701" w:type="dxa"/>
            <w:vMerge w:val="restart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採單一費率，即無每日</w:t>
            </w:r>
            <w:r w:rsidRPr="00C73F39">
              <w:rPr>
                <w:rFonts w:eastAsia="標楷體"/>
                <w:bCs/>
                <w:sz w:val="24"/>
                <w:szCs w:val="28"/>
              </w:rPr>
              <w:t>20</w:t>
            </w:r>
            <w:r w:rsidRPr="00C73F39">
              <w:rPr>
                <w:rFonts w:eastAsia="標楷體"/>
                <w:bCs/>
                <w:sz w:val="24"/>
                <w:szCs w:val="28"/>
              </w:rPr>
              <w:t>公里優惠里程及長途折扣，各車種不論行駛長度，收費單價均為每公里：小型車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0.9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元、大型車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1.12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元、聯結車</w:t>
            </w:r>
            <w:r w:rsidRPr="00C73F39">
              <w:rPr>
                <w:rFonts w:eastAsia="標楷體"/>
                <w:bCs/>
                <w:sz w:val="24"/>
                <w:szCs w:val="28"/>
              </w:rPr>
              <w:t>1.35</w:t>
            </w:r>
            <w:r w:rsidRPr="00C73F39">
              <w:rPr>
                <w:rFonts w:eastAsia="標楷體"/>
                <w:bCs/>
                <w:sz w:val="24"/>
                <w:szCs w:val="28"/>
              </w:rPr>
              <w:t>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pacing w:before="0" w:line="280" w:lineRule="exact"/>
              <w:ind w:leftChars="-48" w:left="-115"/>
              <w:jc w:val="both"/>
              <w:outlineLvl w:val="9"/>
              <w:rPr>
                <w:rFonts w:eastAsia="標楷體"/>
                <w:bCs/>
                <w:sz w:val="24"/>
                <w:szCs w:val="24"/>
              </w:rPr>
            </w:pPr>
            <w:r w:rsidRPr="00C73F39">
              <w:rPr>
                <w:rFonts w:eastAsia="標楷體"/>
                <w:bCs/>
                <w:sz w:val="24"/>
                <w:szCs w:val="24"/>
              </w:rPr>
              <w:t>暫停收費時段外，國</w:t>
            </w:r>
            <w:r w:rsidRPr="00C73F39">
              <w:rPr>
                <w:rFonts w:eastAsia="標楷體"/>
                <w:bCs/>
                <w:sz w:val="24"/>
                <w:szCs w:val="24"/>
              </w:rPr>
              <w:t>3</w:t>
            </w:r>
            <w:r w:rsidRPr="00C73F39">
              <w:rPr>
                <w:rFonts w:eastAsia="標楷體"/>
                <w:bCs/>
                <w:sz w:val="24"/>
                <w:szCs w:val="24"/>
              </w:rPr>
              <w:t>「新竹系統至燕巢系統」採單一費率</w:t>
            </w:r>
            <w:r w:rsidRPr="00C73F39">
              <w:rPr>
                <w:rFonts w:eastAsia="標楷體"/>
                <w:bCs/>
                <w:sz w:val="24"/>
                <w:szCs w:val="24"/>
              </w:rPr>
              <w:t>8</w:t>
            </w:r>
            <w:r w:rsidRPr="00C73F39">
              <w:rPr>
                <w:rFonts w:eastAsia="標楷體"/>
                <w:bCs/>
                <w:sz w:val="24"/>
                <w:szCs w:val="24"/>
              </w:rPr>
              <w:t>折收費</w:t>
            </w:r>
          </w:p>
        </w:tc>
        <w:tc>
          <w:tcPr>
            <w:tcW w:w="3717" w:type="dxa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Chars="-45" w:left="175" w:hangingChars="118" w:hanging="283"/>
              <w:rPr>
                <w:rFonts w:ascii="Times New Roman" w:eastAsia="標楷體"/>
                <w:sz w:val="24"/>
                <w:szCs w:val="24"/>
              </w:rPr>
            </w:pPr>
            <w:r w:rsidRPr="00C73F39">
              <w:rPr>
                <w:rFonts w:ascii="Times New Roman" w:eastAsia="標楷體"/>
                <w:sz w:val="24"/>
                <w:szCs w:val="24"/>
              </w:rPr>
              <w:t>（一）現有開放路肩措施照常實</w:t>
            </w:r>
            <w:r w:rsidRPr="00C73F39">
              <w:rPr>
                <w:rFonts w:ascii="Times New Roman" w:eastAsia="標楷體"/>
                <w:sz w:val="24"/>
                <w:szCs w:val="24"/>
              </w:rPr>
              <w:br/>
              <w:t xml:space="preserve">    </w:t>
            </w:r>
            <w:r w:rsidRPr="00C73F39">
              <w:rPr>
                <w:rFonts w:ascii="Times New Roman" w:eastAsia="標楷體"/>
                <w:sz w:val="24"/>
                <w:szCs w:val="24"/>
              </w:rPr>
              <w:t>施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-45" w:left="600" w:hangingChars="295" w:hanging="708"/>
              <w:rPr>
                <w:rFonts w:ascii="Times New Roman" w:eastAsia="標楷體"/>
                <w:sz w:val="24"/>
                <w:szCs w:val="24"/>
              </w:rPr>
            </w:pPr>
            <w:r w:rsidRPr="00C73F39">
              <w:rPr>
                <w:rFonts w:ascii="Times New Roman" w:eastAsia="標楷體"/>
                <w:sz w:val="24"/>
                <w:szCs w:val="24"/>
              </w:rPr>
              <w:t>（二）除上述外，</w:t>
            </w:r>
            <w:r w:rsidRPr="00C73F39">
              <w:rPr>
                <w:rFonts w:ascii="Times New Roman" w:eastAsia="標楷體"/>
                <w:sz w:val="24"/>
                <w:szCs w:val="24"/>
              </w:rPr>
              <w:t>7-19</w:t>
            </w:r>
            <w:r w:rsidRPr="00C73F39">
              <w:rPr>
                <w:rFonts w:ascii="Times New Roman" w:eastAsia="標楷體"/>
                <w:sz w:val="24"/>
                <w:szCs w:val="24"/>
              </w:rPr>
              <w:t>時再開放</w:t>
            </w:r>
            <w:r w:rsidRPr="00C73F39">
              <w:rPr>
                <w:rFonts w:ascii="Times New Roman" w:eastAsia="標楷體"/>
                <w:sz w:val="24"/>
                <w:szCs w:val="24"/>
              </w:rPr>
              <w:t xml:space="preserve">   </w:t>
            </w:r>
            <w:r w:rsidRPr="00C73F39">
              <w:rPr>
                <w:rFonts w:ascii="Times New Roman" w:eastAsia="標楷體"/>
                <w:sz w:val="24"/>
                <w:szCs w:val="24"/>
              </w:rPr>
              <w:br/>
            </w:r>
            <w:r w:rsidRPr="00C73F39">
              <w:rPr>
                <w:rFonts w:ascii="Times New Roman" w:eastAsia="標楷體"/>
                <w:sz w:val="24"/>
                <w:szCs w:val="24"/>
              </w:rPr>
              <w:t>下列路段之路肩供小型車行駛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73" w:left="175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1.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國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1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：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598" w:hangingChars="117" w:hanging="281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(1)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高架道路楊梅終點端至湖口南下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456" w:hangingChars="58" w:hanging="139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(2)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新竹新安路入口至新竹系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br/>
              <w:t xml:space="preserve"> 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統南下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73" w:left="237" w:hangingChars="26" w:hanging="62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2.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國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3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：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(1)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大溪至龍潭南下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(2)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關西服務區至關西南下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(3)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霧峰至中投北上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(4)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竹林至關西北上</w:t>
            </w:r>
          </w:p>
          <w:p w:rsidR="00C73F39" w:rsidRPr="00C73F39" w:rsidRDefault="00C73F39" w:rsidP="00A11AC1">
            <w:pPr>
              <w:pStyle w:val="a4"/>
              <w:spacing w:line="240" w:lineRule="exact"/>
              <w:ind w:leftChars="132" w:left="600" w:hangingChars="118" w:hanging="283"/>
              <w:rPr>
                <w:rFonts w:ascii="Times New Roman" w:eastAsia="標楷體"/>
                <w:bCs/>
                <w:sz w:val="24"/>
                <w:szCs w:val="24"/>
              </w:rPr>
            </w:pP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(5)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原龍潭收費站（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71k+759</w:t>
            </w:r>
            <w:r w:rsidRPr="00C73F39">
              <w:rPr>
                <w:rFonts w:ascii="Times New Roman" w:eastAsia="標楷體"/>
                <w:bCs/>
                <w:sz w:val="24"/>
                <w:szCs w:val="24"/>
              </w:rPr>
              <w:t>）至龍潭交流道北上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3F39" w:rsidRPr="00C73F39" w:rsidRDefault="00C73F39" w:rsidP="00A11AC1">
            <w:pPr>
              <w:spacing w:line="240" w:lineRule="exact"/>
              <w:rPr>
                <w:rFonts w:ascii="Times New Roman" w:eastAsia="標楷體"/>
                <w:bCs/>
                <w:noProof/>
              </w:rPr>
            </w:pPr>
            <w:r w:rsidRPr="00C73F39">
              <w:rPr>
                <w:rFonts w:ascii="Times New Roman" w:eastAsia="標楷體"/>
                <w:bCs/>
              </w:rPr>
              <w:t>視高速公路主線交通狀況採取嚴格管制</w:t>
            </w:r>
          </w:p>
        </w:tc>
      </w:tr>
      <w:tr w:rsidR="00C73F39" w:rsidRPr="00C73F39" w:rsidTr="00C73F39">
        <w:trPr>
          <w:trHeight w:val="150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2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（週五）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7-12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>5</w:t>
            </w:r>
            <w:r w:rsidRPr="00C73F39">
              <w:rPr>
                <w:rFonts w:eastAsia="標楷體"/>
                <w:bCs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Cs w:val="28"/>
              </w:rPr>
            </w:pPr>
            <w:r w:rsidRPr="00C73F39">
              <w:rPr>
                <w:rFonts w:eastAsia="標楷體"/>
                <w:bCs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C73F39">
            <w:pPr>
              <w:pStyle w:val="a4"/>
              <w:spacing w:line="240" w:lineRule="exact"/>
              <w:ind w:left="264" w:hangingChars="132" w:hanging="264"/>
              <w:rPr>
                <w:rFonts w:ascii="Times New Roman" w:eastAsia="標楷體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szCs w:val="28"/>
              </w:rPr>
            </w:pPr>
          </w:p>
        </w:tc>
      </w:tr>
      <w:tr w:rsidR="00C73F39" w:rsidRPr="00C73F39" w:rsidTr="00C73F39">
        <w:trPr>
          <w:trHeight w:val="1411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3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（週六）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15-20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73F39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="317" w:hangingChars="132" w:hanging="317"/>
              <w:rPr>
                <w:rFonts w:ascii="Times New Roman" w:eastAsia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Cs w:val="28"/>
              </w:rPr>
            </w:pPr>
          </w:p>
        </w:tc>
      </w:tr>
      <w:tr w:rsidR="00C73F39" w:rsidRPr="00C73F39" w:rsidTr="00C73F39">
        <w:trPr>
          <w:trHeight w:val="1435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</w:t>
            </w:r>
            <w:r w:rsidRPr="00C73F39">
              <w:rPr>
                <w:rFonts w:eastAsia="標楷體"/>
                <w:bCs/>
                <w:sz w:val="24"/>
                <w:szCs w:val="28"/>
              </w:rPr>
              <w:t>月</w:t>
            </w:r>
            <w:r w:rsidRPr="00C73F39">
              <w:rPr>
                <w:rFonts w:eastAsia="標楷體"/>
                <w:bCs/>
                <w:sz w:val="24"/>
                <w:szCs w:val="28"/>
              </w:rPr>
              <w:t>4</w:t>
            </w:r>
            <w:r w:rsidRPr="00C73F39">
              <w:rPr>
                <w:rFonts w:eastAsia="標楷體"/>
                <w:bCs/>
                <w:sz w:val="24"/>
                <w:szCs w:val="28"/>
              </w:rPr>
              <w:t>日</w:t>
            </w:r>
          </w:p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（週日）</w:t>
            </w:r>
          </w:p>
        </w:tc>
        <w:tc>
          <w:tcPr>
            <w:tcW w:w="3118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15-20</w:t>
            </w:r>
            <w:r w:rsidRPr="00C73F39">
              <w:rPr>
                <w:rFonts w:eastAsia="標楷體"/>
                <w:bCs/>
                <w:sz w:val="24"/>
                <w:szCs w:val="28"/>
              </w:rPr>
              <w:t>時，國</w:t>
            </w:r>
            <w:r w:rsidRPr="00C73F39">
              <w:rPr>
                <w:rFonts w:eastAsia="標楷體"/>
                <w:bCs/>
                <w:sz w:val="24"/>
                <w:szCs w:val="28"/>
              </w:rPr>
              <w:t xml:space="preserve">5 </w:t>
            </w:r>
            <w:r w:rsidRPr="00C73F39">
              <w:rPr>
                <w:rFonts w:eastAsia="標楷體"/>
                <w:bCs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2126" w:type="dxa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sz w:val="24"/>
                <w:szCs w:val="28"/>
              </w:rPr>
            </w:pPr>
            <w:r w:rsidRPr="00C73F39">
              <w:rPr>
                <w:rFonts w:eastAsia="標楷體"/>
                <w:bCs/>
                <w:sz w:val="24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sz w:val="24"/>
                <w:szCs w:val="28"/>
              </w:rPr>
            </w:pPr>
          </w:p>
        </w:tc>
        <w:tc>
          <w:tcPr>
            <w:tcW w:w="3717" w:type="dxa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4"/>
              <w:spacing w:line="240" w:lineRule="exact"/>
              <w:ind w:left="317" w:hangingChars="132" w:hanging="317"/>
              <w:rPr>
                <w:rFonts w:ascii="Times New Roman" w:eastAsia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3F39" w:rsidRPr="00C73F39" w:rsidRDefault="00C73F39" w:rsidP="00A11AC1">
            <w:pPr>
              <w:pStyle w:val="a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szCs w:val="28"/>
              </w:rPr>
            </w:pPr>
          </w:p>
        </w:tc>
      </w:tr>
    </w:tbl>
    <w:p w:rsidR="00C73F39" w:rsidRPr="005B6B5F" w:rsidRDefault="00C73F39" w:rsidP="00C73F39">
      <w:pPr>
        <w:snapToGrid w:val="0"/>
        <w:ind w:leftChars="-118" w:left="144" w:hanging="427"/>
        <w:rPr>
          <w:rFonts w:ascii="Times New Roman" w:eastAsia="標楷體"/>
          <w:sz w:val="22"/>
          <w:szCs w:val="22"/>
        </w:rPr>
      </w:pPr>
      <w:proofErr w:type="gramStart"/>
      <w:r w:rsidRPr="005B6B5F">
        <w:rPr>
          <w:rFonts w:ascii="Times New Roman" w:eastAsia="標楷體"/>
          <w:szCs w:val="22"/>
        </w:rPr>
        <w:t>註</w:t>
      </w:r>
      <w:proofErr w:type="gramEnd"/>
      <w:r w:rsidRPr="005B6B5F">
        <w:rPr>
          <w:rFonts w:ascii="Times New Roman" w:eastAsia="標楷體"/>
          <w:szCs w:val="22"/>
        </w:rPr>
        <w:t>：</w:t>
      </w:r>
      <w:proofErr w:type="gramStart"/>
      <w:r w:rsidRPr="005B6B5F">
        <w:rPr>
          <w:rFonts w:ascii="Times New Roman" w:eastAsia="標楷體"/>
          <w:szCs w:val="22"/>
        </w:rPr>
        <w:t>假期間國</w:t>
      </w:r>
      <w:proofErr w:type="gramEnd"/>
      <w:r w:rsidRPr="005B6B5F">
        <w:rPr>
          <w:rFonts w:ascii="Times New Roman" w:eastAsia="標楷體"/>
          <w:szCs w:val="22"/>
        </w:rPr>
        <w:t>5</w:t>
      </w:r>
      <w:r w:rsidRPr="005B6B5F">
        <w:rPr>
          <w:rFonts w:ascii="Times New Roman" w:eastAsia="標楷體"/>
          <w:szCs w:val="22"/>
        </w:rPr>
        <w:t>石碇南下及頭城、宜蘭與羅東北上大客車優先通行措施照常實施</w:t>
      </w:r>
    </w:p>
    <w:p w:rsidR="00556BA9" w:rsidRDefault="00556BA9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Default="00D9400E">
      <w:pPr>
        <w:rPr>
          <w:rFonts w:hint="eastAsia"/>
        </w:rPr>
      </w:pPr>
    </w:p>
    <w:p w:rsidR="00D9400E" w:rsidRPr="00D9400E" w:rsidRDefault="00D9400E" w:rsidP="00D9400E">
      <w:pPr>
        <w:adjustRightInd/>
        <w:jc w:val="center"/>
        <w:textAlignment w:val="auto"/>
        <w:rPr>
          <w:rFonts w:ascii="Times New Roman" w:eastAsia="標楷體"/>
          <w:noProof/>
          <w:color w:val="FF0000"/>
          <w:kern w:val="2"/>
          <w:sz w:val="44"/>
          <w:szCs w:val="22"/>
        </w:rPr>
      </w:pPr>
      <w:r w:rsidRPr="00D9400E">
        <w:rPr>
          <w:rFonts w:ascii="Times New Roman" w:eastAsia="標楷體"/>
          <w:color w:val="FF0000"/>
          <w:kern w:val="2"/>
          <w:sz w:val="44"/>
          <w:szCs w:val="22"/>
        </w:rPr>
        <w:lastRenderedPageBreak/>
        <w:t>國</w:t>
      </w:r>
      <w:r w:rsidRPr="00D9400E">
        <w:rPr>
          <w:rFonts w:ascii="Times New Roman" w:eastAsia="標楷體"/>
          <w:color w:val="FF0000"/>
          <w:kern w:val="2"/>
          <w:sz w:val="44"/>
          <w:szCs w:val="22"/>
        </w:rPr>
        <w:t>1</w:t>
      </w:r>
      <w:r w:rsidRPr="00D9400E">
        <w:rPr>
          <w:rFonts w:ascii="Times New Roman" w:eastAsia="標楷體"/>
          <w:color w:val="FF0000"/>
          <w:kern w:val="2"/>
          <w:sz w:val="44"/>
          <w:szCs w:val="22"/>
        </w:rPr>
        <w:t>平鎮系統南下入口封閉改道路線</w:t>
      </w:r>
    </w:p>
    <w:p w:rsidR="00D9400E" w:rsidRDefault="00D9400E" w:rsidP="00D9400E">
      <w:pPr>
        <w:jc w:val="center"/>
        <w:rPr>
          <w:rFonts w:hint="eastAsia"/>
        </w:rPr>
      </w:pPr>
      <w:r>
        <w:rPr>
          <w:rFonts w:ascii="Times New Roman"/>
          <w:noProof/>
        </w:rPr>
        <w:drawing>
          <wp:inline distT="0" distB="0" distL="0" distR="0" wp14:anchorId="2B2E69DF" wp14:editId="2EA065E2">
            <wp:extent cx="6219825" cy="4001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57" cy="400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00E" w:rsidRPr="00D9400E" w:rsidRDefault="00D9400E" w:rsidP="00D9400E">
      <w:pPr>
        <w:numPr>
          <w:ilvl w:val="0"/>
          <w:numId w:val="2"/>
        </w:numPr>
        <w:adjustRightInd/>
        <w:snapToGrid w:val="0"/>
        <w:spacing w:beforeLines="25" w:before="90" w:afterLines="25" w:after="90"/>
        <w:jc w:val="both"/>
        <w:textAlignment w:val="auto"/>
        <w:rPr>
          <w:rFonts w:ascii="Times New Roman" w:eastAsia="標楷體"/>
          <w:kern w:val="2"/>
          <w:sz w:val="32"/>
          <w:szCs w:val="24"/>
        </w:rPr>
      </w:pP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66</w:t>
      </w:r>
      <w:r w:rsidRPr="00D9400E">
        <w:rPr>
          <w:rFonts w:ascii="Times New Roman" w:eastAsia="標楷體"/>
          <w:kern w:val="2"/>
          <w:sz w:val="32"/>
          <w:szCs w:val="24"/>
        </w:rPr>
        <w:t>東行：平鎮系統南下入口封閉之改道路線</w:t>
      </w:r>
      <w:r w:rsidRPr="00D9400E">
        <w:rPr>
          <w:rFonts w:ascii="Times New Roman" w:eastAsia="標楷體"/>
          <w:kern w:val="2"/>
          <w:sz w:val="32"/>
          <w:szCs w:val="24"/>
        </w:rPr>
        <w:t>(</w:t>
      </w: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66</w:t>
      </w:r>
      <w:r w:rsidRPr="00D9400E">
        <w:rPr>
          <w:rFonts w:ascii="Times New Roman" w:eastAsia="標楷體"/>
          <w:kern w:val="2"/>
          <w:sz w:val="32"/>
          <w:szCs w:val="24"/>
        </w:rPr>
        <w:t>平鎮一</w:t>
      </w:r>
      <w:r w:rsidRPr="00D9400E">
        <w:rPr>
          <w:rFonts w:ascii="Times New Roman" w:eastAsia="標楷體"/>
          <w:kern w:val="2"/>
          <w:sz w:val="32"/>
          <w:szCs w:val="24"/>
        </w:rPr>
        <w:t>→</w:t>
      </w: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1→</w:t>
      </w:r>
      <w:r w:rsidRPr="00D9400E">
        <w:rPr>
          <w:rFonts w:ascii="Times New Roman" w:eastAsia="標楷體"/>
          <w:kern w:val="2"/>
          <w:sz w:val="32"/>
          <w:szCs w:val="24"/>
        </w:rPr>
        <w:t>桃</w:t>
      </w:r>
      <w:r w:rsidRPr="00D9400E">
        <w:rPr>
          <w:rFonts w:ascii="Times New Roman" w:eastAsia="標楷體"/>
          <w:kern w:val="2"/>
          <w:sz w:val="32"/>
          <w:szCs w:val="24"/>
        </w:rPr>
        <w:t>72→</w:t>
      </w:r>
      <w:r w:rsidRPr="00D9400E">
        <w:rPr>
          <w:rFonts w:ascii="Times New Roman" w:eastAsia="標楷體"/>
          <w:kern w:val="2"/>
          <w:sz w:val="32"/>
          <w:szCs w:val="24"/>
        </w:rPr>
        <w:t>獅</w:t>
      </w:r>
      <w:proofErr w:type="gramStart"/>
      <w:r w:rsidRPr="00D9400E">
        <w:rPr>
          <w:rFonts w:ascii="Times New Roman" w:eastAsia="標楷體"/>
          <w:kern w:val="2"/>
          <w:sz w:val="32"/>
          <w:szCs w:val="24"/>
        </w:rPr>
        <w:t>一路</w:t>
      </w:r>
      <w:r w:rsidRPr="00D9400E">
        <w:rPr>
          <w:rFonts w:ascii="Times New Roman" w:eastAsia="標楷體"/>
          <w:kern w:val="2"/>
          <w:sz w:val="32"/>
          <w:szCs w:val="24"/>
        </w:rPr>
        <w:t>→</w:t>
      </w:r>
      <w:proofErr w:type="gramEnd"/>
      <w:r w:rsidRPr="00D9400E">
        <w:rPr>
          <w:rFonts w:ascii="Times New Roman" w:eastAsia="標楷體"/>
          <w:kern w:val="2"/>
          <w:sz w:val="32"/>
          <w:szCs w:val="24"/>
        </w:rPr>
        <w:t>國</w:t>
      </w:r>
      <w:r w:rsidRPr="00D9400E">
        <w:rPr>
          <w:rFonts w:ascii="Times New Roman" w:eastAsia="標楷體"/>
          <w:kern w:val="2"/>
          <w:sz w:val="32"/>
          <w:szCs w:val="24"/>
        </w:rPr>
        <w:t>1</w:t>
      </w:r>
      <w:r w:rsidRPr="00D9400E">
        <w:rPr>
          <w:rFonts w:ascii="Times New Roman" w:eastAsia="標楷體"/>
          <w:kern w:val="2"/>
          <w:sz w:val="32"/>
          <w:szCs w:val="24"/>
        </w:rPr>
        <w:t>幼獅</w:t>
      </w:r>
      <w:r w:rsidRPr="00D9400E">
        <w:rPr>
          <w:rFonts w:ascii="Times New Roman" w:eastAsia="標楷體"/>
          <w:kern w:val="2"/>
          <w:sz w:val="32"/>
          <w:szCs w:val="24"/>
        </w:rPr>
        <w:t>).</w:t>
      </w:r>
    </w:p>
    <w:p w:rsidR="00D9400E" w:rsidRPr="00D9400E" w:rsidRDefault="00D9400E" w:rsidP="00D9400E">
      <w:pPr>
        <w:numPr>
          <w:ilvl w:val="0"/>
          <w:numId w:val="2"/>
        </w:numPr>
        <w:adjustRightInd/>
        <w:snapToGrid w:val="0"/>
        <w:spacing w:beforeLines="25" w:before="90" w:afterLines="25" w:after="90"/>
        <w:jc w:val="both"/>
        <w:textAlignment w:val="auto"/>
        <w:rPr>
          <w:rFonts w:ascii="Times New Roman" w:eastAsia="標楷體"/>
          <w:kern w:val="2"/>
          <w:sz w:val="32"/>
          <w:szCs w:val="24"/>
        </w:rPr>
      </w:pPr>
      <w:bookmarkStart w:id="0" w:name="_GoBack"/>
      <w:bookmarkEnd w:id="0"/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66</w:t>
      </w:r>
      <w:r w:rsidRPr="00D9400E">
        <w:rPr>
          <w:rFonts w:ascii="Times New Roman" w:eastAsia="標楷體"/>
          <w:kern w:val="2"/>
          <w:sz w:val="32"/>
          <w:szCs w:val="24"/>
        </w:rPr>
        <w:t>西行：平鎮系統南下入口封閉之改道路線</w:t>
      </w:r>
      <w:r w:rsidRPr="00D9400E">
        <w:rPr>
          <w:rFonts w:ascii="Times New Roman" w:eastAsia="標楷體"/>
          <w:kern w:val="2"/>
          <w:sz w:val="32"/>
          <w:szCs w:val="24"/>
        </w:rPr>
        <w:t>(</w:t>
      </w: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66</w:t>
      </w:r>
      <w:r w:rsidRPr="00D9400E">
        <w:rPr>
          <w:rFonts w:ascii="Times New Roman" w:eastAsia="標楷體"/>
          <w:kern w:val="2"/>
          <w:sz w:val="32"/>
          <w:szCs w:val="24"/>
        </w:rPr>
        <w:t>平鎮二</w:t>
      </w:r>
      <w:r w:rsidRPr="00D9400E">
        <w:rPr>
          <w:rFonts w:ascii="Times New Roman" w:eastAsia="標楷體"/>
          <w:kern w:val="2"/>
          <w:sz w:val="32"/>
          <w:szCs w:val="24"/>
        </w:rPr>
        <w:t>→</w:t>
      </w: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66</w:t>
      </w:r>
      <w:r w:rsidRPr="00D9400E">
        <w:rPr>
          <w:rFonts w:ascii="Times New Roman" w:eastAsia="標楷體"/>
          <w:kern w:val="2"/>
          <w:sz w:val="32"/>
          <w:szCs w:val="24"/>
        </w:rPr>
        <w:t>側車道</w:t>
      </w:r>
      <w:r w:rsidRPr="00D9400E">
        <w:rPr>
          <w:rFonts w:ascii="Times New Roman" w:eastAsia="標楷體"/>
          <w:kern w:val="2"/>
          <w:sz w:val="32"/>
          <w:szCs w:val="24"/>
        </w:rPr>
        <w:t>→</w:t>
      </w:r>
      <w:r w:rsidRPr="00D9400E">
        <w:rPr>
          <w:rFonts w:ascii="Times New Roman" w:eastAsia="標楷體"/>
          <w:kern w:val="2"/>
          <w:sz w:val="32"/>
          <w:szCs w:val="24"/>
        </w:rPr>
        <w:t>台</w:t>
      </w:r>
      <w:r w:rsidRPr="00D9400E">
        <w:rPr>
          <w:rFonts w:ascii="Times New Roman" w:eastAsia="標楷體"/>
          <w:kern w:val="2"/>
          <w:sz w:val="32"/>
          <w:szCs w:val="24"/>
        </w:rPr>
        <w:t>1→</w:t>
      </w:r>
      <w:r w:rsidRPr="00D9400E">
        <w:rPr>
          <w:rFonts w:ascii="Times New Roman" w:eastAsia="標楷體"/>
          <w:kern w:val="2"/>
          <w:sz w:val="32"/>
          <w:szCs w:val="24"/>
        </w:rPr>
        <w:t>桃</w:t>
      </w:r>
      <w:r w:rsidRPr="00D9400E">
        <w:rPr>
          <w:rFonts w:ascii="Times New Roman" w:eastAsia="標楷體"/>
          <w:kern w:val="2"/>
          <w:sz w:val="32"/>
          <w:szCs w:val="24"/>
        </w:rPr>
        <w:t>72→</w:t>
      </w:r>
      <w:r w:rsidRPr="00D9400E">
        <w:rPr>
          <w:rFonts w:ascii="Times New Roman" w:eastAsia="標楷體"/>
          <w:kern w:val="2"/>
          <w:sz w:val="32"/>
          <w:szCs w:val="24"/>
        </w:rPr>
        <w:t>獅一路</w:t>
      </w:r>
      <w:r w:rsidRPr="00D9400E">
        <w:rPr>
          <w:rFonts w:ascii="Times New Roman" w:eastAsia="標楷體"/>
          <w:kern w:val="2"/>
          <w:sz w:val="32"/>
          <w:szCs w:val="24"/>
        </w:rPr>
        <w:t>→</w:t>
      </w:r>
      <w:r w:rsidRPr="00D9400E">
        <w:rPr>
          <w:rFonts w:ascii="Times New Roman" w:eastAsia="標楷體"/>
          <w:kern w:val="2"/>
          <w:sz w:val="32"/>
          <w:szCs w:val="24"/>
        </w:rPr>
        <w:t>國</w:t>
      </w:r>
      <w:r w:rsidRPr="00D9400E">
        <w:rPr>
          <w:rFonts w:ascii="Times New Roman" w:eastAsia="標楷體"/>
          <w:kern w:val="2"/>
          <w:sz w:val="32"/>
          <w:szCs w:val="24"/>
        </w:rPr>
        <w:t>1</w:t>
      </w:r>
      <w:r w:rsidRPr="00D9400E">
        <w:rPr>
          <w:rFonts w:ascii="Times New Roman" w:eastAsia="標楷體"/>
          <w:kern w:val="2"/>
          <w:sz w:val="32"/>
          <w:szCs w:val="24"/>
        </w:rPr>
        <w:t>幼獅</w:t>
      </w:r>
      <w:r w:rsidRPr="00D9400E">
        <w:rPr>
          <w:rFonts w:ascii="Times New Roman" w:eastAsia="標楷體"/>
          <w:kern w:val="2"/>
          <w:sz w:val="32"/>
          <w:szCs w:val="24"/>
        </w:rPr>
        <w:t>)</w:t>
      </w:r>
    </w:p>
    <w:p w:rsidR="00D9400E" w:rsidRPr="00D9400E" w:rsidRDefault="00D9400E" w:rsidP="00D9400E">
      <w:pPr>
        <w:jc w:val="center"/>
      </w:pPr>
    </w:p>
    <w:sectPr w:rsidR="00D9400E" w:rsidRPr="00D9400E" w:rsidSect="00C73F3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5907"/>
    <w:multiLevelType w:val="singleLevel"/>
    <w:tmpl w:val="7756A468"/>
    <w:lvl w:ilvl="0">
      <w:start w:val="1"/>
      <w:numFmt w:val="taiwaneseCountingThousand"/>
      <w:pStyle w:val="a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1">
    <w:nsid w:val="6D2B6203"/>
    <w:multiLevelType w:val="hybridMultilevel"/>
    <w:tmpl w:val="19181D5C"/>
    <w:lvl w:ilvl="0" w:tplc="C4AC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9"/>
    <w:rsid w:val="00421868"/>
    <w:rsid w:val="00556BA9"/>
    <w:rsid w:val="00C73F39"/>
    <w:rsid w:val="00D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F3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73F39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C73F3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C73F39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D94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D940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F39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73F39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頁首 字元"/>
    <w:basedOn w:val="a1"/>
    <w:link w:val="a4"/>
    <w:rsid w:val="00C73F3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第二層項次"/>
    <w:rsid w:val="00C73F39"/>
    <w:pPr>
      <w:numPr>
        <w:numId w:val="1"/>
      </w:numPr>
      <w:spacing w:before="120"/>
      <w:outlineLvl w:val="1"/>
    </w:pPr>
    <w:rPr>
      <w:rFonts w:ascii="Times New Roman" w:eastAsia="新細明體" w:hAnsi="Times New Roman" w:cs="Times New Roman"/>
      <w:noProof/>
      <w:kern w:val="0"/>
      <w:sz w:val="28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D94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D940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陳海橋</cp:lastModifiedBy>
  <cp:revision>2</cp:revision>
  <dcterms:created xsi:type="dcterms:W3CDTF">2014-11-26T09:04:00Z</dcterms:created>
  <dcterms:modified xsi:type="dcterms:W3CDTF">2014-12-09T22:14:00Z</dcterms:modified>
</cp:coreProperties>
</file>